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Climate Architecture Substantiation</w:t>
      </w:r>
    </w:p>
    <w:p>
      <w:r>
        <w:t>Pillar Eleven: Carbon-Pricing Hybrid with Dividend and Investment</w:t>
      </w:r>
    </w:p>
    <w:p>
      <w:r>
        <w:t>v1.0  ·  Created May 7, 2026 for v3.5.0 (Pillar Eleven added; third of four planned new pillars per v4.0.0 architecture proposal, sequenced one at a time per Jason's direction; follows Pillar Nine in v3.3.0 and Pillar Ten in v3.4.0)  ·  Jason Robertson  ·  Ohio  ·  2026 · content last changed v3.8.281</w:t>
      </w:r>
    </w:p>
    <w:p>
      <w:r>
        <w:t>Sources Baseline. Numerical claims in this document derive from the canonical sources cataloged in 05_Sources_And_Derivation_Convention.docx, including: Environmental Protection Agency (EPA) Inventory of U.S. Greenhouse Gas Emissions and Sinks (the approximately five billion metric ton annual U.S. CO2-equivalent emissions figure); Energy Information Administration energy-by-source data; Treasury Office of Tax Analysis distributional analyses of carbon-pricing proposals; CBO scoring of carbon-pricing legislation including the Energy Innovation and Carbon Dividend Act and various Clean Energy and Sustainability Accelerator proposals; Brookings Institution and Resources for the Future carbon-pricing analyses; the Climate Leadership Council's Carbon Dividends Plan as published in 2017 and updated subsequently; Citizens Climate Lobby technical materials on the Energy Innovation and Carbon Dividend Act; the World Bank's Carbon Pricing Dashboard for international comparisons; the Regional Greenhouse Gas Initiative (RGGI) and California Cap-and-Trade program data; British Columbia's revenue-neutral carbon tax data 2008-present; the European Union Emissions Trading System (EU ETS) data; and the IPCC Working Group III Mitigation reports for emissions-pricing impact projections. Empirical claims requiring external credentialed review are tracked in the Open Issues Registry under future RESEARCH items as engagement targets are identified.</w:t>
      </w:r>
    </w:p>
    <w:p>
      <w:r>
        <w:t>Note on the existing Climate Policy Beyond Grid Modernization analysis. This document is the primary substantiation for Pillar Eleven. The previously-existing 05_Climate_Policy_Beyond_Grid_Modernization.docx (item in the analytical framing folder) provides analysis of climate policy components that interacted with the platform's prior architecture (where climate was not a pillar). With Pillar Eleven established, that document becomes supplementary historical context rather than the primary climate reference; readers interested in Pillar Eleven should treat this document as primary.</w:t>
      </w:r>
    </w:p>
    <w:p>
      <w:pPr/>
      <w:r>
        <w:rPr>
          <w:b/>
        </w:rPr>
        <w:t xml:space="preserve">Activates After (Rollout Dependency). </w:t>
      </w:r>
      <w:r>
        <w:t>Under the platform's phased, gated rollout (Architectural Decision Principles, v3.7.558), this pillar belongs to the extension phase. It is sequenced to activate after the core universal-coverage pillars (healthcare, childcare, mental health, paid family time, and long-term care) are operating stably, rather than switching on simultaneously with every other pillar. The specific stability gates that would authorize the move from coverage into extensions are not asserted here; they require macroeconomic and actuarial calibration and are tracked as the open question GUARD-1 in the Tracked Issues Registry. This sequencing is a design proposal the author can reorder, not a fixed schedule, and the ordering among the extension pillars may be revised as that calibration matures.</w:t>
      </w:r>
    </w:p>
    <w:p>
      <w:pPr>
        <w:pStyle w:val="Heading1"/>
      </w:pPr>
      <w:r>
        <w:t>Historical Precedent: The Acid Rain Program and the Montreal Protocol</w:t>
      </w:r>
    </w:p>
    <w:p>
      <w:pPr/>
      <w:r>
        <w:t>The architectural logic underlying Climate Architecture has direct precedent in two successful environmental architectures of the late 20th century: the Acid Rain Program established under Title IV of the Clean Air Act Amendments of 1990, and the Montreal Protocol on Substances that Deplete the Ozone Layer signed in 1987. The Acid Rain Program implemented the first large-scale market-based emissions trading system in American history, capping sulfur dioxide emissions from power plants and creating a federally-administered allowance market. SO2 emissions fell approximately 50% by 2007 against the 1980 baseline at compliance costs roughly one-tenth of pre-program industry estimates, and acid rain damage measurably reversed across the eastern United States. The Montreal Protocol coordinated 197 signatory nations in phasing out ozone-depleting substances; CFC production fell by over 99% within twenty years of signing, and the ozone hole has been measurably recovering since the early 2000s with full recovery projected by mid-century. Both programs combined federal regulatory architecture with market mechanisms and produced measurable outcomes faster and cheaper than projected.</w:t>
      </w:r>
    </w:p>
    <w:p>
      <w:pPr/>
      <w:r>
        <w:t>Climate Architecture extends this architectural logic to the larger and more politically difficult problem of carbon emissions — but the structural pattern is the same: federal regulatory commitment to a measurable outcome, market mechanisms for cost-efficient achievement, transparent reporting that makes industry behavior verifiable, and dividend distribution that prevents the carbon price from functioning as a regressive tax. The Acid Rain Program and the Montreal Protocol demonstrate that the architectural category works. Pillar Eleven extends what those programs proved at smaller scale into the climate-scale commitment required for the next forty years.</w:t>
      </w:r>
    </w:p>
    <w:p>
      <w:pPr>
        <w:pStyle w:val="Heading1"/>
      </w:pPr>
      <w:r>
        <w:t>Why Climate Is the Eleventh Pillar</w:t>
      </w:r>
    </w:p>
    <w:p>
      <w:r>
        <w:t>The platform's first ten pillars address retirement security, wage architecture, education access, healthcare, childcare, mental health, civic infrastructure, paid family time, long-term care, and federal housing investment. Climate has been visibly absent from the pillar architecture even though the platform's existing analytical materials addressed climate policy adjacent to but outside the pillar framework. v3.5.0 closes this gap by elevating climate policy to the eleventh pillar.</w:t>
      </w:r>
    </w:p>
    <w:p>
      <w:r>
        <w:t>There is a moral foundation beneath the empirical case that follows, and the platform names it explicitly: the United States has accumulated an environmental damage debt across the industrial and post-industrial decades. Decisions made under climate-naive assumptions produced real harm with real costs — atmospheric carbon, polluted watersheds, depleted soils, coastal-infrastructure exposure — and those costs were not paid by the generations that produced them. They are owed to descendants who never agreed to them. Climate Architecture is the pillar where the country begins to pay that debt down.</w:t>
      </w:r>
    </w:p>
    <w:p>
      <w:r>
        <w:t>The debt framing is intentionally different from the more common stewardship framing. Stewardship is a voluntary, almost gentlemanly duty to care for the natural world; debt is an obligation that does not wait politely to be repaid. Glaciers melt on a schedule that markets do not negotiate. Topsoil washes away whether or not we are ready to address it. The Stern Review on the Economics of Climate Change (2006) anchored this asymmetry in mainstream policy economics: the cost of acting today is small compared to the cost of acting tomorrow, and the cost of acting tomorrow is small compared to the cost of not acting at all. That asymmetry is the interest rate compounding against us. The platform's vision document An Educated Country Pays the Debt elaborates this framing as a cross-pillar synthesis tying climate (Pillar Eleven) to education (Pillar Three, the Sovereign Education Fund) through the iterative methodology described in the Continuous Process Effort document.</w:t>
      </w:r>
    </w:p>
    <w:p>
      <w:r>
        <w:t>The case for elevating climate is straightforward. The United States emits approximately five billion metric tons of CO2-equivalent annually, contributing approximately fifteen percent of global emissions despite housing approximately four percent of global population. Climate change is the largest collective-action challenge facing the country and the world; market signals do not internalize the externalities imposed by greenhouse gas emissions; voluntary mitigation has proven inadequate at the necessary scale and speed; existing federal climate policy is a patchwork of subsidies, regulations, and state-level cap-and-trade programs that do not provide an economy-wide price signal. Pillar Eleven addresses this through an economy-wide carbon price paired with a hybrid dividend-and-investment revenue allocation that returns half of carbon-price revenue to households as a dividend and invests half in clean energy infrastructure, grid modernization, and just-transition support for fossil-fuel-dependent communities. (Source baseline: see Sources_And_Derivation_Convention.docx.)</w:t>
      </w:r>
    </w:p>
    <w:p>
      <w:r>
        <w:t>Climate fits the platform's architectural pattern with the same structural difference that applied to Pillar Ten (Federal Housing Investment): the funding mechanism is not a payroll contribution because the policy goal is not an individual benefit calibrated to the contribution base. The carbon price is a corrective price that internalizes externalities; revenue from the price is not the policy's purpose but a consequence of it, and revenue allocation reflects equity-and-efficiency design choices about how to handle the regressive incidence of carbon pricing. Pillar Eleven therefore parallels Pillar One (Community Contribution Plan) and Pillar Ten (Federal Housing Investment) in being non-payroll-funded rather than parallel to Pillars Four through Six and Eight through Nine.</w:t>
      </w:r>
    </w:p>
    <w:p>
      <w:pPr>
        <w:pStyle w:val="Heading1"/>
      </w:pPr>
      <w:r>
        <w:t>The Pillar Eleven Architecture</w:t>
      </w:r>
    </w:p>
    <w:p>
      <w:pPr>
        <w:pStyle w:val="Heading2"/>
      </w:pPr>
      <w:r>
        <w:t>Carbon Price Specification</w:t>
      </w:r>
    </w:p>
    <w:p>
      <w:r>
        <w:t>Pillar Eleven establishes an economy-wide upstream carbon price applied to fossil fuels at the point of extraction (for domestically produced fossil fuels) or import (for imported fossil fuels). Upstream pricing has substantial administrative advantages over downstream pricing: the number of covered entities is small (a few hundred upstream fossil-fuel producers and importers rather than millions of downstream emitters); the carbon content of fossil fuels is well-measured at extraction; the price flows through to downstream users via market mechanisms (electricity prices reflect natural gas and coal prices; gasoline prices reflect crude oil prices). Coverage of the upstream price reaches approximately seventy-five to eighty percent of U.S. CO2-equivalent emissions; the remaining twenty to twenty-five percent (agricultural emissions, certain industrial process emissions, fluorinated gases) requires complementary policy mechanisms not directly priced through the upstream carbon mechanism.</w:t>
      </w:r>
    </w:p>
    <w:p>
      <w:r>
        <w:t>Methane and non-CO2 greenhouse gas treatment: the upstream carbon price applies to CO2 from fossil-fuel combustion plus the methane embedded in extracted natural gas (priced at the well-head or import point at the CO2-equivalent rate using the 100-year Global Warming Potential factor of 30 for methane per the most recent IPCC assessment). Methane leakage from natural gas systems is addressed through complementary regulatory mechanisms outside Pillar 11's price-based scope — specifically, the EPA's New Source Performance Standards for oil and gas methane (40 CFR Part 60 Subparts OOOOa and OOOOb) and the Methane Emissions Reduction Program established under the Inflation Reduction Act, which charges a per-ton fee on excess methane emissions from petroleum and natural gas facilities. These regulatory mechanisms continue to operate in parallel with Pillar 11's broader carbon price. Other non-CO2 greenhouse gases — nitrous oxide from agricultural soils and industrial sources, hydrofluorocarbons in refrigeration and air conditioning, sulfur hexafluoride in electrical equipment — are not covered by the upstream carbon price; nitrous oxide is addressed through the agricultural decarbonization research mentioned in Component 5, and hydrofluorocarbons are addressed through the existing American Innovation and Manufacturing Act phasedown framework. (Non-CO2 GHG treatment note added in v3.7.206 via SITE-36 Pillar 11 review.)</w:t>
      </w:r>
    </w:p>
    <w:p>
      <w:pPr>
        <w:pStyle w:val="Heading2"/>
      </w:pPr>
      <w:r>
        <w:t>Price Trajectory (Canonical)</w:t>
      </w:r>
    </w:p>
    <w:p>
      <w:r>
        <w:t>The carbon price starts at fifty dollars per metric ton CO2-equivalent in year one and rises to one hundred dollars per metric ton CO2-equivalent over an approximately ten-year transition period. This trajectory is calibrated against the social cost of carbon estimates (the Interagency Working Group estimates and updated EPA estimates place the social cost of carbon in the range of approximately fifty to one hundred ninety dollars per ton at three percent discount rates and approximately one hundred ninety to four hundred dollars per ton at lower discount rates more consistent with intergenerational equity considerations). The fifty-dollar starting price is at the lower end of social-cost-of-carbon estimates and is calibrated for political feasibility and economic transition manageability; the hundred-dollar mature price is in the middle of social-cost-of-carbon estimates and provides a meaningful price signal at maturity. Subsequent automatic adjustments (linked to emissions trajectory or social-cost-of-carbon update) are part of the program design and to be specified in implementing legislation.</w:t>
      </w:r>
    </w:p>
    <w:p>
      <w:pPr>
        <w:pStyle w:val="Heading2"/>
      </w:pPr>
      <w:r>
        <w:t>Coverage and Border Adjustment</w:t>
      </w:r>
    </w:p>
    <w:p>
      <w:r>
        <w:t>The carbon price applies to upstream fossil-fuel producers and importers covering approximately seventy-five to eighty percent of U.S. CO2-equivalent emissions. A border adjustment mechanism applies the carbon price to imported goods based on their embedded carbon content, calibrated to prevent carbon leakage (the migration of emissions-intensive production to jurisdictions without carbon pricing) and to incentivize trading partners to adopt carbon pricing. The border adjustment also exempts U.S. exports from the carbon price to maintain export competitiveness; this is the standard design in carbon-pricing proposals including the Climate Leadership Council's Carbon Dividends Plan and the Energy Innovation and Carbon Dividend Act. Border adjustment design has substantial technical and trade-law complexity that the platform document acknowledges as requiring credentialed external review (international trade law expertise is one of the open issues for Pillar Eleven).</w:t>
      </w:r>
    </w:p>
    <w:p>
      <w:r>
        <w:t>Carbon offsets and removal credits architectural position: Pillar 11 takes an explicit position on whether offsets and removal credits can be used to reduce the payment obligation under the upstream carbon price. The architectural choice matters: a permissive offsets regime can reduce least-cost abatement opportunities (which is the economic argument for permitting offsets) but can also weaken the price signal and produce verification disputes (the longstanding critique of offsets programs from both environmental groups and economists). Pillar 11's position threads the two concerns by maintaining a hard price signal while permitting a narrow, high-quality removal-credit category.</w:t>
      </w:r>
    </w:p>
    <w:p>
      <w:r>
        <w:t>Conventional offsets (forestry, methane capture, soil sequestration, avoided deforestation): NOT permitted to offset the payment obligation under the upstream carbon price. The rationale: the upstream price is the principal instrument of Pillar 11; weakening it through offset substitution undermines the price signal that the entire investment architecture depends on. Conventional offset projects (those covering the broad range of avoidance and biological-sequestration activities currently traded under voluntary market frameworks like Verra and Gold Standard) continue to operate in voluntary markets but do not reduce the federal payment obligation. Pillar 11's funding of land-use and forestry carbon sequestration under Component 5 (Innovation and Federal Programs) provides a direct-funding pathway for these activities that does not require offset-market verification structures.</w:t>
      </w:r>
    </w:p>
    <w:p>
      <w:r>
        <w:t>Engineered carbon dioxide removal (CDR) credits: permitted in a limited and tightly-scoped way. Direct air capture with geological storage (DAC-CCS), bioenergy with carbon capture and storage (BECCS), and certified mineralization credits — all subject to high-rigor monitoring, reporting, and verification (MRV) standards modeled on the EU's developing Carbon Removal Certification Framework — can be used to offset up to 10 percent of the payment obligation for any covered entity. The 10-percent cap prevents broad substitution of CDR for direct emissions reduction (maintaining the price signal) while permitting the highest-quality removal projects to participate in the compliance market (creating revenue stream for the CDR sector that current federal policy does not fully provide). Permanence requirements: geological-storage credits require minimum 1,000-year permanence verification with intervening verification visits at 5, 10, 25, and 50 years; mineralization credits require similar long-permanence verification.</w:t>
      </w:r>
    </w:p>
    <w:p>
      <w:r>
        <w:t>International offsets and Article 6 mechanisms: under the Paris Agreement Article 6 framework, internationally-transferred mitigation outcomes (ITMOs) provide a mechanism for countries to count emissions reductions occurring in other countries toward their nationally determined contribution (NDC). Pillar 11's architectural position on Article 6: international removal credits meeting the engineered-CDR criteria above are permitted within the 10-percent cap; Article 6.4 mechanism credits are subject to the same MRV verification standards as domestic credits. International conventional offsets (avoided deforestation, biological sequestration) are not permitted to offset the domestic payment obligation regardless of Article 6 designation. The platform's stance: U.S. emissions reductions are obtained through U.S. domestic action; international cooperation operates through climate finance flows (a separate question from the domestic carbon-price obligation). (Carbon offsets and removal credits architectural position note added in v3.7.215 via SITE-36 deferred-findings resolution.)</w:t>
      </w:r>
    </w:p>
    <w:p>
      <w:pPr>
        <w:pStyle w:val="Heading2"/>
      </w:pPr>
      <w:r>
        <w:t>Revenue Allocation: Fifty-Fifty Dividend and Investment (Canonical)</w:t>
      </w:r>
    </w:p>
    <w:p>
      <w:r>
        <w:t>Total carbon-price revenue at maturity is approximately three hundred to four hundred billion dollars per year (one hundred dollars per ton applied to approximately three to four billion tons covered). At the starting fifty-dollar price, revenue is approximately one hundred fifty to two hundred billion per year, ramping to mature levels as the price rises and as remaining covered emissions decline due to the price's incentive effect. Pillar Eleven splits this revenue fifty-fifty between a household dividend and a clean-energy investment fund. The fifty-fifty split is the platform's architectural canonical and is calibrated against two design considerations: a dividend large enough to meaningfully offset the carbon-price's regressive incidence on lower-income households (lower-income households spend a larger share of income on energy and energy-intensive goods, so flat-rate dividends provide net benefit to most below-median-income households even after the carbon price flows through to consumer prices); and an investment portion large enough to materially accelerate clean-energy transition and just-transition support beyond what the price signal alone produces.</w:t>
      </w:r>
    </w:p>
    <w:p>
      <w:pPr>
        <w:pStyle w:val="Heading1"/>
      </w:pPr>
      <w:r>
        <w:t>Pillar Eleven Components</w:t>
      </w:r>
    </w:p>
    <w:p>
      <w:pPr>
        <w:pStyle w:val="Heading2"/>
      </w:pPr>
      <w:r>
        <w:t>Component One: Carbon Dividend</w:t>
      </w:r>
    </w:p>
    <w:p>
      <w:r>
        <w:t>Approximately fifty percent of carbon-price revenue is returned to U.S. residents as an equal per-capita dividend, with adjustments for household composition. Specifically: each adult U.S. resident receives an equal share; each child receives a half-share, capped at two children per household. At the starting fifty-dollar price with approximately one hundred billion in dividends, the per-adult dividend is approximately three hundred to three hundred fifty dollars per year, with a household of four (two adults, two children) receiving approximately one thousand dollars per year. At the mature one-hundred-dollar price with approximately two hundred billion in dividends, the per-adult dividend is approximately six hundred to seven hundred dollars per year, with a four-person household receiving approximately two thousand dollars per year. The dividend is delivered through the Treasury (mechanism to be specified; possibilities include direct deposit parallel to refundable tax credits, monthly distribution similar to Social Security disbursement, or quarterly distribution). The dividend is not means-tested; high-income households receive the same dividend as low-income households; this is a feature not a bug because the carbon price they pay through consumption is also not means-tested. The distributional effect of the carbon price plus dividend is progressive on net for households below approximately the seventieth percentile of household income, with the upper-third of the income distribution paying more in the carbon price than they receive in dividend (which is the policy's intent).</w:t>
      </w:r>
    </w:p>
    <w:p>
      <w:pPr>
        <w:pStyle w:val="Heading2"/>
      </w:pPr>
      <w:r>
        <w:t>Component Two: Clean Energy Infrastructure Investment</w:t>
      </w:r>
    </w:p>
    <w:p>
      <w:r>
        <w:t>Approximately twenty-five percent of carbon-price revenue (one half of the investment portion) is allocated to clean energy infrastructure investment. This includes: utility-scale renewable electricity generation deployment; energy storage deployment to support variable renewable integration; building electrification support including heat pump deployment; industrial decarbonization technology deployment including hydrogen and carbon capture for hard-to-abate sectors; clean transportation infrastructure including charging network buildout for electric vehicles; methane reduction including landfill gas capture and oil-and-gas system leak reduction. The specific portfolio allocation is determined through a federal-state cooperation framework with state implementation flexibility within federal program parameters. At maturity, this component flows approximately one hundred billion per year for clean energy infrastructure, substantially supplementing the price-signal incentive and accelerating the transition timeline beyond what the price alone produces.</w:t>
      </w:r>
    </w:p>
    <w:p>
      <w:pPr>
        <w:pStyle w:val="Heading2"/>
      </w:pPr>
      <w:r>
        <w:t>Component Three: Transmission Grid Modernization</w:t>
      </w:r>
    </w:p>
    <w:p>
      <w:r>
        <w:t>Approximately ten percent of carbon-price revenue is allocated to transmission grid modernization, including high-voltage long-distance transmission buildout to support inter-regional renewable integration; distribution grid hardening for climate-resilience including undergrounding in fire-prone areas; smart-grid deployment for demand-response and distributed-energy-resource integration; and federal-state coordination on transmission siting (the existing federal authority is limited; state-level siting is the principal binding constraint). At maturity, this component flows approximately forty billion per year, substantial relative to current federal grid investment but calibrated against the recognized need to roughly double current transmission infrastructure to support the clean-energy transition. The platform's existing Pillar Seven (Civic Infrastructure) addresses physical infrastructure broadly; Pillar Eleven's Component Three is climate-specific transmission and grid investment that complements rather than substitutes for Pillar Seven's existing infrastructure commitments.</w:t>
      </w:r>
    </w:p>
    <w:p>
      <w:pPr>
        <w:pStyle w:val="Heading2"/>
      </w:pPr>
      <w:r>
        <w:t>Component Four: Just Transition Support</w:t>
      </w:r>
    </w:p>
    <w:p>
      <w:r>
        <w:t>Approximately ten percent of carbon-price revenue is allocated to just-transition support for fossil-fuel-dependent communities and workers. This includes: direct income support for workers transitioning out of fossil-fuel industries (similar to Trade Adjustment Assistance but calibrated for the longer transition timeframe); training and credentialing pathways for clean-energy occupations; community-level economic development support for regions whose economies have been heavily dependent on fossil-fuel extraction (Appalachian coal communities; Permian Basin and Gulf of Mexico oil-and-gas communities; some Western state coal-and-oil communities); pension and healthcare protection for retirees of fossil-fuel companies. At maturity, this component flows approximately forty billion per year. Just-transition support is essential not just on equity grounds but on political-feasibility grounds: a carbon-pricing architecture that fails to address fossil-fuel-dependent community concerns has been politically unsustainable in U.S. context, as the experience of multiple state-level carbon-pricing efforts demonstrates.</w:t>
      </w:r>
    </w:p>
    <w:p>
      <w:r>
        <w:t>Environmental justice targeted investment within Just Transition: approximately one-quarter of the Just Transition component (or approximately 2.5 percent of total carbon-price revenue, equivalent to approximately $8-10 billion per year at maturity) is allocated specifically to environmental-justice-targeted investment in cumulative-impact zones. The EJ community has historically critiqued carbon pricing as inadequate for cumulative-impact zones (low-income communities and communities of color exposed to multiple co-located pollution sources) because carbon pricing reduces aggregate emissions without necessarily addressing local concentration. The EJ-targeted investment under Pillar 11 specifically addresses this critique by funding (1) air-quality monitoring infrastructure deployment in cumulative-impact zones identified through CEJST or successor framework; (2) co-pollutant reduction projects at facilities located in cumulative-impact zones (priority for SO2, NOx, and particulate-matter reduction that has localized health benefits beyond the global CO2 benefit); (3) community-controlled clean-energy deployment (community solar, energy-efficiency programs) in cumulative-impact zones; and (4) workforce development programs targeting cumulative-impact-zone residents for the clean-energy occupations supported by the Pillar 11 broader investment streams. The EJ-targeted investment component is designed in coordination with the EPA Office of Environmental Justice and External Civil Rights and with state-level EJ agencies; community-input requirements (modeled on the existing Justice40 Initiative architecture) require demonstrated community engagement as a condition of funding flow. (Environmental justice targeted investment note added in v3.7.213 via SITE-36 deferred-findings resolution.)</w:t>
      </w:r>
    </w:p>
    <w:p>
      <w:pPr>
        <w:pStyle w:val="Heading2"/>
      </w:pPr>
      <w:r>
        <w:t>Component Five: Innovation and Federal Programs</w:t>
      </w:r>
    </w:p>
    <w:p>
      <w:r>
        <w:t>Approximately five percent of carbon-price revenue is allocated to clean-energy innovation programs (DOE ARPA-E expansion; DOE national laboratories climate-relevant research; agricultural decarbonization research at United States Department of Agriculture (USDA); carbon-removal technology research) and to federal program adaptations not captured in Components Two through Four (including support for federal facility decarbonization, federal procurement standards, and federal-agency capacity-building for climate program administration). At maturity, this component flows approximately twenty billion per year. The smaller size of this component reflects the platform's view that direct deployment investment (Component Two) and grid modernization (Component Three) are higher-leverage uses of carbon-price revenue than additional innovation funding, given that core clean-energy technologies are already cost-competitive at scale and the binding constraint is deployment rather than invention.</w:t>
      </w:r>
    </w:p>
    <w:p>
      <w:r>
        <w:t>Agriculture emissions architectural treatment: agriculture accounts for approximately 10 percent of U.S. greenhouse gas emissions per EPA inventory data — primarily methane from enteric fermentation in livestock, methane and nitrous oxide from manure management, nitrous oxide from soil management, and CO2 from agricultural energy use. Agricultural emissions are NOT covered by Pillar 11's upstream carbon price for two reasons. First, the emissions are inherently distributed (over two million U.S. farms) and biological (driven by livestock metabolism and soil chemistry rather than discrete combustion events), which makes upstream pricing impractical. Second, the agricultural sector includes substantial low-income and small-scale producers for whom flat-rate emissions pricing would be regressive in ways that the dividend mechanism does not fully offset. Pillar 11's architectural treatment of agricultural emissions: dedicated USDA agricultural decarbonization research funding under Component 5; voluntary conservation-stewardship payments expanded under the existing EQIP, CSP, and CRP frameworks; targeted regulatory work on methane from concentrated animal feeding operations (where the emissions concentration approaches a point-source pattern); and the broader land-use carbon-sink framework (forest carbon, soil carbon sequestration) under separate accounting. Author decision required on whether to expand the agricultural treatment into a dedicated component of Pillar 11 in a future iteration. (Agriculture treatment note added in v3.7.206 via SITE-36 Pillar 11 review.)</w:t>
      </w:r>
    </w:p>
    <w:p>
      <w:pPr>
        <w:pStyle w:val="Heading1"/>
      </w:pPr>
      <w:r>
        <w:t>Transition Mechanics</w:t>
      </w:r>
    </w:p>
    <w:p>
      <w:r>
        <w:t>The transition to full Pillar Eleven implementation proceeds along the price trajectory specified above. Year one through year three: legislative authority established; federal program structure created (including Treasury infrastructure for dividend distribution and federal investment-fund infrastructure for the investment portion); first dividend payments distributed (at the starting fifty-dollar price); border adjustment mechanism operationalized; clean energy investment flows initiated. Year three through year ten: carbon price rises along its trajectory; dividend amounts rise correspondingly; investment flows scale up; just-transition support reaches steady-state operation. Year ten and beyond: the mature one-hundred-dollar price applies (with subsequent adjustments per program design); revenue flows reach maturity; covered emissions decline as the price's incentive effect produces decarbonization; revenue ramps down over time as emissions decline (this is intended behavior of a corrective price; revenue decline reflects policy success not failure).</w:t>
      </w:r>
    </w:p>
    <w:p>
      <w:r>
        <w:t>During transition, existing climate policies continue to operate. State-level cap-and-trade programs (RGGI; California; Washington) remain operational; the federal carbon price provides a price floor under state programs without preempting them. Existing clean-energy tax credits (Inflation Reduction Act provisions) continue to operate during the transition; specific interactions are managed through implementing legislation. Climate-related federal regulatory programs (EPA Clean Air Act regulations on greenhouse gases; CAFE fuel-economy standards; appliance efficiency standards) continue to operate; the carbon price is complementary to rather than substituting for regulatory programs.</w:t>
      </w:r>
    </w:p>
    <w:p>
      <w:r>
        <w:t>Inflation Reduction Act and Bipartisan Infrastructure Law coordination: substantial existing federal climate investment is already in motion through the 2022 Inflation Reduction Act (clean energy tax credits, Greenhouse Gas Reduction Fund, Department of Energy loan programs, methane fee, and related programs totaling approximately 369 billion dollars over the ten-year scoring window) and the 2021 Bipartisan Infrastructure Law (grid modernization, electric vehicle charging buildout, broadband, and related programs with climate-relevant components). Pillar 11's architectural position: these existing programs continue to operate; the Pillar 11 carbon price provides the price signal that the IRA tax credits accelerate response to (tax credits make clean energy more economically attractive at any given carbon price; the carbon price makes fossil energy more economically unattractive at any given tax credit level — the two instruments are complementary rather than redundant). As IRA tax credits reach their statutory expiration dates (varies by program, with most extending through approximately 2032-2035), Pillar 11's Component 2 clean-energy infrastructure investment ramps up to maintain the deployment momentum. The IRA Greenhouse Gas Reduction Fund and DOE Loan Programs Office continue to operate within their existing authorities. (IRA/BIL coordination note added in v3.7.206 via SITE-36 Pillar 11 review.)</w:t>
      </w:r>
    </w:p>
    <w:p>
      <w:pPr>
        <w:pStyle w:val="Heading1"/>
      </w:pPr>
      <w:r>
        <w:t>Federal-State Coordination Specifics</w:t>
      </w:r>
    </w:p>
    <w:p>
      <w:r>
        <w:t>Federal-state coordination on Pillar Eleven addresses several specific issues. State-level carbon-pricing programs continue to operate; the federal carbon price establishes a national floor and can be supplemented by state-level programs. State implementation of clean-energy investment program funds (Component Two) follows a federal-state cooperation framework similar to that used for Pillar Ten (Federal Housing Investment). Transmission siting (Component Three) is currently substantially state-administered with limited federal authority; Pillar Eleven includes federal authority for inter-regional transmission siting under specific conditions, but state authority remains primary for in-state and local transmission. Just-transition support (Component Four) flows substantially to state and local economic development entities for community-level implementation, with federal program oversight and accountability mechanisms.</w:t>
      </w:r>
    </w:p>
    <w:p>
      <w:r>
        <w:t>Tribal nation coordination follows the platform's Tribal Consultation Framework. Climate impacts on tribal lands are substantial in many cases (drought, wildfire, sea-level rise affecting coastal tribes, permafrost degradation affecting Alaska Native communities); Pillar Eleven includes tribal-nation engagement on both the dividend distribution (each tribal-nation member receives the dividend on the same basis as other U.S. residents) and the investment programs (clean-energy and just-transition investments on tribal lands proceed through government-to-government consultation). Territorial coordination similarly follows the platform's existing territories framework.</w:t>
      </w:r>
    </w:p>
    <w:p>
      <w:pPr>
        <w:pStyle w:val="Heading1"/>
      </w:pPr>
      <w:r>
        <w:t>Comparison with Existing Approaches</w:t>
      </w:r>
    </w:p>
    <w:p>
      <w:pPr>
        <w:pStyle w:val="Heading2"/>
      </w:pPr>
      <w:r>
        <w:t>Comparison with Pure-Dividend Carbon Pricing (CLC; Citizens Climate Lobby)</w:t>
      </w:r>
    </w:p>
    <w:p>
      <w:r>
        <w:t>The Climate Leadership Council's Carbon Dividends Plan (2017 with subsequent updates) and the Citizens Climate Lobby's Energy Innovation and Carbon Dividend Act both propose carbon pricing with one hundred percent of revenue returned to households as dividend. Pillar Eleven differs from these approaches in returning fifty percent rather than one hundred percent as dividend, with the other fifty percent invested in clean energy infrastructure, grid modernization, just transition, and innovation. The architectural choice reflects two judgments. First: the carbon-price-only-with-dividend approach relies on the price signal alone to drive deployment of clean-energy infrastructure; the platform's view is that the price signal is necessary but not sufficient at the scale and speed required by climate science, and direct investment substantially accelerates the transition. Second: pure-dividend approaches do not address just-transition needs or grid modernization needs that have substantial public-good character and are inadequately delivered through the price signal alone. The trade-off is that the dividend is smaller per-household under Pillar Eleven than under pure-dividend approaches; this is acknowledged honestly. The fifty-fifty split is a policy judgment that the investment value exceeds the dividend value at the margin; reasonable people can disagree, and the canonical is open to revision based on credentialed external review.</w:t>
      </w:r>
    </w:p>
    <w:p>
      <w:pPr>
        <w:pStyle w:val="Heading2"/>
      </w:pPr>
      <w:r>
        <w:t>Comparison with State-Level Cap-and-Trade (RGGI; California)</w:t>
      </w:r>
    </w:p>
    <w:p>
      <w:r>
        <w:t>The Regional Greenhouse Gas Initiative (RGGI) covers the electricity sector in eleven Northeast and Mid-Atlantic states with auctioned emissions allowances. RGGI prices have ranged approximately ten to fifteen dollars per ton in recent years. California's Cap-and-Trade Program covers approximately eighty percent of state CO2-equivalent emissions including industrial and transportation fuels, with prices in the approximately twenty-five to thirty-five dollar range recently. Both programs have reduced covered-sector emissions and generated substantial revenue used for clean-energy investment, ratepayer relief, and other state-level programs. Pillar Eleven's federal carbon price is structurally similar to these state-level programs but with national coverage and substantially higher price levels. The platform's view is that state-level programs have demonstrated feasibility and have built constituency support; a federal program builds on this state-level foundation while addressing the leakage and competitiveness concerns that limit state-level program ambition.</w:t>
      </w:r>
    </w:p>
    <w:p>
      <w:pPr>
        <w:pStyle w:val="Heading2"/>
      </w:pPr>
      <w:r>
        <w:t>Comparison with International Carbon Pricing (EU ETS; British Columbia; Sweden)</w:t>
      </w:r>
    </w:p>
    <w:p>
      <w:r>
        <w:t>The European Union Emissions Trading System (EU ETS) is the largest carbon-pricing program globally, covering approximately forty percent of EU emissions across power generation, industry, and intra-EU aviation. Recent EU ETS prices have ranged approximately seventy to one hundred euros per ton. British Columbia's carbon tax, established in 2008 and currently at approximately seventy Canadian dollars per ton, is the longest-running revenue-neutral carbon tax in North America and provides substantial empirical evidence that carbon pricing produces measurable emissions reductions without economic harm. Sweden's carbon tax, established in 1991 and currently at approximately one hundred thirty U.S. dollar equivalent per ton, provides the longest record of high-price carbon taxation; Sweden has reduced per-capita CO2 emissions by more than half while growing its economy substantially. Pillar Eleven's pricing trajectory ($50 starting; $100 mature) is calibrated against this international experience and is not an outlier in either direction; the policy is feasible in the sense that comparable programs have been operating successfully in peer economies for years to decades.</w:t>
      </w:r>
    </w:p>
    <w:p>
      <w:pPr>
        <w:pStyle w:val="Heading1"/>
      </w:pPr>
      <w:r>
        <w:t>Workforce Considerations</w:t>
      </w:r>
    </w:p>
    <w:p>
      <w:r>
        <w:t>Pillar Eleven's full implementation produces substantial workforce effects. Direct effects: clean-energy deployment investment supports clean-energy occupations (solar, wind, electrical, construction, manufacturing) at scale; transmission grid modernization supports electrical occupations including substantial demand for line workers, electrical engineers, and grid-control technicians; just-transition support directly funds workers transitioning out of fossil-fuel industries. Indirect effects: clean-technology manufacturing scale-up depends on workforce capacity in semiconductor manufacturing, battery manufacturing, electrical components, and related supply chains; building electrification depends on heat-pump installation workforce capacity; agricultural decarbonization depends on agricultural-extension and conservation-agriculture workforce capacity.</w:t>
      </w:r>
    </w:p>
    <w:p>
      <w:r>
        <w:t>Workforce strategy includes: pre-apprenticeship and apprenticeship pathway funding for clean-energy occupations (parallel to Pillar Ten's construction-trades approach); compensation calibration above platform-canonical Pillar Two wage floors for trade and professional occupations; integration with existing community-college clean-energy programs; immigration policy interaction (clean-energy workforce expansion depends partly on immigration policy similar to other workforce-constrained sectors); and labor-standards integration including prevailing-wage and project-labor-agreement provisions on federally-funded clean-energy investment (parallel to Davis-Bacon application to Pillar Ten construction investment).</w:t>
      </w:r>
    </w:p>
    <w:p>
      <w:pPr>
        <w:pStyle w:val="Heading1"/>
      </w:pPr>
      <w:r>
        <w:t>Fiscal Analysis</w:t>
      </w:r>
    </w:p>
    <w:p>
      <w:r>
        <w:t>Pillar Eleven's gross revenue at maturity is approximately three hundred to four hundred billion dollars per year (one hundred dollars per metric ton applied to approximately three to four billion tons of covered emissions). At the starting fifty-dollar price, gross revenue is approximately one hundred fifty to two hundred billion per year. Revenue declines over time as the price's incentive effect produces decarbonization; the platform views this revenue decline as intended behavior of a corrective price rather than as a fiscal problem to be managed. Revenue is split fifty-fifty between dividend and investment; at maturity, approximately one hundred fifty to two hundred billion per year flows to dividends and the same amount flows to investment programs (Components Two through Five).</w:t>
      </w:r>
    </w:p>
    <w:p>
      <w:r>
        <w:t>Net fiscal impact: Pillar Eleven is a net wash on the federal budget bottom line [RULING RECORDED v3.8.270: this sentence GOVERNS. FIG-climate-revenue-net was registered as a platform REVENUE SOURCE at $128.5B central, which contradicted it; on the author's standing rule that pillar documentation governs, the figure is now recorded as the pillar's own revenue funding the pillar's own components. The platform's revenue total is unaffected -- climate was never among the five components of FIG-new-revenue] because all carbon-price revenue is returned to households via dividends or invested in specified clean-energy and just-transition programs. The pillar does not contribute to the platform's other commitments and is not drawn upon by the high-earner architecture or sovereign fund. This fiscal independence is a feature: Pillar Eleven's operation does not depend on the platform's other fiscal mechanisms and could be borrowed independently by an organization adopting just the carbon-pricing-with-hybrid-revenue-allocation policy. Macroeconomic effects: the carbon price flows through to consumer prices for energy and energy-intensive goods; the dividend offsets the regressive incidence for most below-median-income households; the investment portion accelerates clean-energy transition with associated employment effects in clean-energy sectors offset by employment effects in fossil-fuel sectors which the just-transition support addresses. Net macroeconomic effect: studies of comparable carbon-pricing-with-revenue-recycling programs suggest small-positive to small-negative GDP effects with significant emissions reductions; British Columbia's experience is the closest empirical reference.</w:t>
      </w:r>
    </w:p>
    <w:p>
      <w:pPr>
        <w:pStyle w:val="Heading1"/>
      </w:pPr>
      <w:r>
        <w:t>Open Issues and Limits</w:t>
      </w:r>
    </w:p>
    <w:p>
      <w:r>
        <w:t>Pillar Eleven has the same kinds of open issues as the platform's other adjacent pillars plus several specific to the climate context: actuarial validation of revenue projections under the price trajectory; institutional design for Treasury dividend distribution; institutional design for federal investment-fund administration; international trade law review of the border adjustment mechanism; just-transition program design specifics; and the complementary-policy question of how non-priced emissions (agriculture; certain industrial process emissions; fluorinated gases) are addressed alongside the upstream carbon price.</w:t>
      </w:r>
    </w:p>
    <w:p>
      <w:r>
        <w:t>Specific items requiring credentialed external review, to be added to the Open Issues Registry as engagement targets are identified. First: climate-economics review of the price trajectory against social cost of carbon estimates and against emissions trajectory targets (does fifty-to-one-hundred dollars per ton produce sufficient incentive at the necessary scale and speed; what alternative trajectories are reasonable). Second: international trade law review of the border adjustment mechanism (the WTO compatibility of border carbon adjustment is an active legal question; the EU's Carbon Border Adjustment Mechanism provides ongoing precedent that requires monitoring). Third: institutional design review of the Treasury dividend distribution (existing refundable-credit infrastructure provides foundation; specific delivery mechanism for monthly or quarterly dividend has implementation choices). Fourth: institutional design review of the federal clean-energy investment fund (existing precedents include the LIHEAP allocation framework, the Highway Trust Fund, and the proposed Clean Energy Accelerator; specific governance and accountability design has options). Fifth: just-transition program design with credentialed input from labor economists and from labor unions in fossil-fuel-dependent industries. Sixth: complementary-policy review for non-priced emissions (agriculture sector engagement; industrial-process emissions including cement and steel; fluorinated-gas regulation under existing EPA authority). Seventh: distributional analysis at finer detail than the platform provides (how does the carbon-price-plus-dividend incidence vary by household composition, geographic region, energy-source mix, and other variables).</w:t>
      </w:r>
    </w:p>
    <w:p>
      <w:pPr>
        <w:pStyle w:val="Heading1"/>
      </w:pPr>
      <w:r>
        <w:t>Cross-References</w:t>
      </w:r>
    </w:p>
    <w:p>
      <w:r>
        <w:t>This document is the primary substantiation document for Pillar Eleven (Climate Architecture). It is referenced from the master We The People Platform document's Pillar Eleven section (added in v3.5.0). The pillar's adoption guidance for advocacy organizations is documented in 05_Pillars_Borrow_Independently.docx (updated in v3.5.0 to include Pillar Eleven). The pillar's fiscal stream is documented in 05_Federal_Fiscal_Impact_Analysis.docx (updated in v3.5.0). The previously-existing Climate Policy Beyond Grid Modernization analysis (item in the analytical framing folder) provides background on how the platform's prior architecture interacted with climate policy components; with Pillar Eleven established, that document becomes supplementary historical context. The State-Level Cooperation Requirements document provides the broader framework for federal-state cooperation that Pillar Eleven draws on for state-program coexistence. The Tribal Consultation Framework provides the framework for tribal-nation engagement on the tribal-lands aspects of Pillar Eleven.</w:t>
      </w:r>
    </w:p>
    <w:sectPr w:rsidR="00FC693F" w:rsidRPr="0006063C" w:rsidSect="00034616">
      <w:pgSz w:w="12240" w:h="15840"/>
      <w:pgMar w:top="1440" w:right="1800" w:bottom="1440" w:left="1800" w:header="720" w:footer="720" w:gutter="0"/>
      <w:cols w:space="720"/>
      <w:docGrid w:linePitch="360"/>
    </w:sectPr>
    <w:p>
      <w:r>
        <w:t>The platform's vision document An Educated Country Pays the Debt (02_Vision_and_Communication, added v3.7.68) articulates the cross-pillar synthesis: this pillar's environmental damage debt framing is connected to Pillar Three (Sovereign Education Fund) as the labor-side lever for paying down the debt, and to the methodology document Continuous Process Effort (05_Analytical_Framing, added v3.7.68) as the operating discipline for the iterative pilot programs described in the Transition Mechanics section below.</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